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3D5F95"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2B6882EF"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6C9747C7" w14:textId="0537D373" w:rsidR="006A480B" w:rsidRDefault="00665052" w:rsidP="0066505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Tier One Genomics</w:t>
      </w:r>
    </w:p>
    <w:p w14:paraId="49B7920F" w14:textId="397933E2" w:rsidR="00665052" w:rsidRDefault="00665052" w:rsidP="0066505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14:paraId="79C84827" w14:textId="2A508CBB" w:rsidR="00665052" w:rsidRPr="00665052" w:rsidRDefault="00665052" w:rsidP="00665052">
      <w:pPr>
        <w:spacing w:after="0"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sz w:val="24"/>
          <w:szCs w:val="24"/>
        </w:rPr>
        <w:t>Date</w:t>
      </w:r>
    </w:p>
    <w:p w14:paraId="3D31C3BC"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52C47479"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1EF97926"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745DBDCA"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79531839"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24303BF4"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57E96725"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5E0DF4F0"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6CC300E5"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59E3EA1A"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593C0AB3"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38CD27FB"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20CC1EC9"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2D76C171"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3D5739EA"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2F9CC597"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30384771"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51A0211A" w14:textId="77777777" w:rsidR="006A480B" w:rsidRPr="00665052" w:rsidRDefault="006A480B" w:rsidP="00665052">
      <w:pPr>
        <w:spacing w:after="0" w:line="480" w:lineRule="auto"/>
        <w:contextualSpacing/>
        <w:rPr>
          <w:rFonts w:ascii="Times New Roman" w:hAnsi="Times New Roman" w:cs="Times New Roman"/>
          <w:color w:val="222222"/>
          <w:sz w:val="24"/>
          <w:szCs w:val="24"/>
          <w:shd w:val="clear" w:color="auto" w:fill="FFFFFF"/>
        </w:rPr>
      </w:pPr>
    </w:p>
    <w:p w14:paraId="75C85DAF" w14:textId="1360D9F0" w:rsidR="00FC1BE5" w:rsidRPr="00C47720" w:rsidRDefault="00FC1BE5" w:rsidP="00665052">
      <w:pPr>
        <w:spacing w:after="0" w:line="480" w:lineRule="auto"/>
        <w:contextualSpacing/>
        <w:jc w:val="center"/>
        <w:rPr>
          <w:rFonts w:ascii="Times New Roman" w:hAnsi="Times New Roman" w:cs="Times New Roman"/>
          <w:b/>
          <w:bCs/>
          <w:color w:val="222222"/>
          <w:sz w:val="24"/>
          <w:szCs w:val="24"/>
          <w:shd w:val="clear" w:color="auto" w:fill="FFFFFF"/>
        </w:rPr>
      </w:pPr>
      <w:r w:rsidRPr="00C47720">
        <w:rPr>
          <w:rFonts w:ascii="Times New Roman" w:hAnsi="Times New Roman" w:cs="Times New Roman"/>
          <w:b/>
          <w:bCs/>
          <w:color w:val="222222"/>
          <w:sz w:val="24"/>
          <w:szCs w:val="24"/>
          <w:shd w:val="clear" w:color="auto" w:fill="FFFFFF"/>
        </w:rPr>
        <w:lastRenderedPageBreak/>
        <w:t>Tier One</w:t>
      </w:r>
      <w:r w:rsidR="006A480B" w:rsidRPr="00C47720">
        <w:rPr>
          <w:rFonts w:ascii="Times New Roman" w:hAnsi="Times New Roman" w:cs="Times New Roman"/>
          <w:b/>
          <w:bCs/>
          <w:color w:val="222222"/>
          <w:sz w:val="24"/>
          <w:szCs w:val="24"/>
          <w:shd w:val="clear" w:color="auto" w:fill="FFFFFF"/>
        </w:rPr>
        <w:t xml:space="preserve"> Genomics</w:t>
      </w:r>
    </w:p>
    <w:p w14:paraId="6ED03EB1" w14:textId="77777777" w:rsidR="006A480B" w:rsidRPr="00665052" w:rsidRDefault="006A480B" w:rsidP="00665052">
      <w:pPr>
        <w:spacing w:after="0" w:line="480" w:lineRule="auto"/>
        <w:ind w:firstLine="720"/>
        <w:contextualSpacing/>
        <w:rPr>
          <w:rFonts w:ascii="Times New Roman" w:hAnsi="Times New Roman" w:cs="Times New Roman"/>
          <w:color w:val="222222"/>
          <w:sz w:val="24"/>
          <w:szCs w:val="24"/>
          <w:shd w:val="clear" w:color="auto" w:fill="FFFFFF"/>
        </w:rPr>
      </w:pPr>
      <w:r w:rsidRPr="00665052">
        <w:rPr>
          <w:rFonts w:ascii="Times New Roman" w:hAnsi="Times New Roman" w:cs="Times New Roman"/>
          <w:color w:val="222222"/>
          <w:sz w:val="24"/>
          <w:szCs w:val="24"/>
          <w:shd w:val="clear" w:color="auto" w:fill="FFFFFF"/>
        </w:rPr>
        <w:t xml:space="preserve">According to the Office of Public Health Genomics of CDC (2019), Tier 1 genomic applications are those possessing the ability to provide a positive impact to the public health depending on recommendations and guidelines from an evidence-based approach. The applications consist of consistent growth in the history of family health and numbers of genomic test applications. The application is significant since it seeks to focus on the people at risk of having adverse health outcomes due to their genetic mutations. The genetic mutations predispose them to conditions such as HBOC, Lynch syndrome, and familial hypercholesterolemia. In this paper, I carry out an analysis of the familial hypercholesterolemia as one of the conditions where the genomics has been in application. </w:t>
      </w:r>
    </w:p>
    <w:p w14:paraId="4601EF22" w14:textId="77777777" w:rsidR="006A480B" w:rsidRPr="00665052" w:rsidRDefault="006A480B" w:rsidP="00665052">
      <w:pPr>
        <w:spacing w:after="0" w:line="480" w:lineRule="auto"/>
        <w:ind w:firstLine="720"/>
        <w:contextualSpacing/>
        <w:rPr>
          <w:rFonts w:ascii="Times New Roman" w:hAnsi="Times New Roman" w:cs="Times New Roman"/>
          <w:color w:val="222222"/>
          <w:sz w:val="24"/>
          <w:szCs w:val="24"/>
          <w:shd w:val="clear" w:color="auto" w:fill="FFFFFF"/>
        </w:rPr>
      </w:pPr>
      <w:r w:rsidRPr="00665052">
        <w:rPr>
          <w:rFonts w:ascii="Times New Roman" w:hAnsi="Times New Roman" w:cs="Times New Roman"/>
          <w:color w:val="222222"/>
          <w:sz w:val="24"/>
          <w:szCs w:val="24"/>
          <w:shd w:val="clear" w:color="auto" w:fill="FFFFFF"/>
        </w:rPr>
        <w:t xml:space="preserve">Familial hypercholesterolemia is a condition caused by a defect in genetics where the lipo-protein is in low density (LDL) in the clearance pathway. According to Santos et al. (2017), the condition correlates with prematurity in coronary artery disease. The disease has been viewed to be more common in comparison to other tier genomic applications. The condition is inherited; hence, exposure begins at birth, proving a significant problem to public health (Pang et al. 2020). The condition is a representation of a major gap in the provision of prevention solutions. Globally, the public health risks and challenges posed by FH are consistently being addressed by health professionals. The condition's prevalence is at the ratio of 1:250 (Pang et al., 2020).  </w:t>
      </w:r>
    </w:p>
    <w:p w14:paraId="533FB54E" w14:textId="77777777" w:rsidR="006A480B" w:rsidRPr="00665052" w:rsidRDefault="006A480B" w:rsidP="00665052">
      <w:pPr>
        <w:spacing w:after="0" w:line="480" w:lineRule="auto"/>
        <w:ind w:firstLine="720"/>
        <w:contextualSpacing/>
        <w:rPr>
          <w:rFonts w:ascii="Times New Roman" w:hAnsi="Times New Roman" w:cs="Times New Roman"/>
          <w:color w:val="222222"/>
          <w:sz w:val="24"/>
          <w:szCs w:val="24"/>
          <w:shd w:val="clear" w:color="auto" w:fill="FFFFFF"/>
        </w:rPr>
      </w:pPr>
      <w:r w:rsidRPr="00665052">
        <w:rPr>
          <w:rFonts w:ascii="Times New Roman" w:hAnsi="Times New Roman" w:cs="Times New Roman"/>
          <w:color w:val="222222"/>
          <w:sz w:val="24"/>
          <w:szCs w:val="24"/>
          <w:shd w:val="clear" w:color="auto" w:fill="FFFFFF"/>
        </w:rPr>
        <w:t xml:space="preserve">The disease is characterized by cholesterol elevation of LDL since birth. If the condition is not diagnosed early and treated, it poses a risk for premature coronary artery disease. Therefore, it is of paramount importance that the diagnosis of the conditions be carried out at an early stage of life since the risk exposure begins at birth. The initial diagnosis is crucial since it offers a chance for proper intervention hence the prevention of CAD. Additionally, the risk of </w:t>
      </w:r>
      <w:r w:rsidRPr="00665052">
        <w:rPr>
          <w:rFonts w:ascii="Times New Roman" w:hAnsi="Times New Roman" w:cs="Times New Roman"/>
          <w:color w:val="222222"/>
          <w:sz w:val="24"/>
          <w:szCs w:val="24"/>
          <w:shd w:val="clear" w:color="auto" w:fill="FFFFFF"/>
        </w:rPr>
        <w:lastRenderedPageBreak/>
        <w:t xml:space="preserve">CAD can be lowered through statin therapy and living a lifestyle that reduces LDL cholesterol (Pang et al. 2020). Various strategies need to be carried out for the screening, diagnosis, and treatment of the condition. The easiest and most appropriate way is to carry out a community screening where the community physicians would play the most significant role in detecting and managing the condition in the assigned communities. Additionally, the use of community-based strategies is easy in creating awareness to the public on the condition. </w:t>
      </w:r>
    </w:p>
    <w:p w14:paraId="4E1B55E4" w14:textId="77777777" w:rsidR="006A480B" w:rsidRPr="00665052" w:rsidRDefault="006A480B" w:rsidP="00665052">
      <w:pPr>
        <w:spacing w:after="0" w:line="480" w:lineRule="auto"/>
        <w:ind w:firstLine="720"/>
        <w:contextualSpacing/>
        <w:rPr>
          <w:rFonts w:ascii="Times New Roman" w:hAnsi="Times New Roman" w:cs="Times New Roman"/>
          <w:color w:val="222222"/>
          <w:sz w:val="24"/>
          <w:szCs w:val="24"/>
          <w:shd w:val="clear" w:color="auto" w:fill="FFFFFF"/>
        </w:rPr>
      </w:pPr>
      <w:r w:rsidRPr="00665052">
        <w:rPr>
          <w:rFonts w:ascii="Times New Roman" w:hAnsi="Times New Roman" w:cs="Times New Roman"/>
          <w:color w:val="222222"/>
          <w:sz w:val="24"/>
          <w:szCs w:val="24"/>
          <w:shd w:val="clear" w:color="auto" w:fill="FFFFFF"/>
        </w:rPr>
        <w:t xml:space="preserve">In my career, the concept of tier-one genomics will play a significant role in advancing my profession. Since the idea is technological, I will ensure that there is proper public awareness of the conditions at various levels. For instance, in the case of FH, I will ensure that the mothers are made aware of the prevalence of such diseases that must be handled during children's birth. The information by mothers will go a long way in creating awareness without fear amongst mothers. The information is also relevant to me because I can lobby to disseminate information through the mass media using the healthcare channels. Therefore, members of the public will remain informed ion the conditions, and therefore, the diagnosis will be easily carried out. Finally, the information gives room for more research on the prevalence and more detailed solutions. </w:t>
      </w:r>
    </w:p>
    <w:p w14:paraId="32E3A6B2" w14:textId="09BADC88" w:rsidR="00325CB0" w:rsidRPr="00665052" w:rsidRDefault="006A480B" w:rsidP="00665052">
      <w:pPr>
        <w:spacing w:after="0" w:line="480" w:lineRule="auto"/>
        <w:ind w:firstLine="720"/>
        <w:contextualSpacing/>
        <w:rPr>
          <w:rFonts w:ascii="Times New Roman" w:hAnsi="Times New Roman" w:cs="Times New Roman"/>
          <w:color w:val="222222"/>
          <w:sz w:val="24"/>
          <w:szCs w:val="24"/>
          <w:shd w:val="clear" w:color="auto" w:fill="FFFFFF"/>
        </w:rPr>
      </w:pPr>
      <w:r w:rsidRPr="00665052">
        <w:rPr>
          <w:rFonts w:ascii="Times New Roman" w:hAnsi="Times New Roman" w:cs="Times New Roman"/>
          <w:color w:val="222222"/>
          <w:sz w:val="24"/>
          <w:szCs w:val="24"/>
          <w:shd w:val="clear" w:color="auto" w:fill="FFFFFF"/>
        </w:rPr>
        <w:t xml:space="preserve">In conclusion, therefore, tier-one genomics applications are significant in curbing the prevalence of health risk problems untreatable if not diagnosed early. The applications offer a platform to solve public health problems, which prove a high risk to the population. The prevalence of the three conditions can be efficiently dealt with under proper screening and early diagnosis, which aid in managing the conditions. Appropriate healthcare policies need to be laid down to curb the outcome of FH, which poses a risk from the birth of a child. Community-based </w:t>
      </w:r>
      <w:r w:rsidRPr="00665052">
        <w:rPr>
          <w:rFonts w:ascii="Times New Roman" w:hAnsi="Times New Roman" w:cs="Times New Roman"/>
          <w:color w:val="222222"/>
          <w:sz w:val="24"/>
          <w:szCs w:val="24"/>
          <w:shd w:val="clear" w:color="auto" w:fill="FFFFFF"/>
        </w:rPr>
        <w:lastRenderedPageBreak/>
        <w:t>procedures are among the best solutions since the healthcare professionals are sent close to the people for easy monitoring and management of any health conditions.</w:t>
      </w:r>
    </w:p>
    <w:p w14:paraId="35637947" w14:textId="03923EFB" w:rsidR="00325CB0" w:rsidRDefault="00325CB0" w:rsidP="00665052">
      <w:pPr>
        <w:spacing w:after="0" w:line="480" w:lineRule="auto"/>
        <w:contextualSpacing/>
        <w:rPr>
          <w:rFonts w:ascii="Times New Roman" w:hAnsi="Times New Roman" w:cs="Times New Roman"/>
          <w:color w:val="222222"/>
          <w:sz w:val="24"/>
          <w:szCs w:val="24"/>
          <w:shd w:val="clear" w:color="auto" w:fill="FFFFFF"/>
        </w:rPr>
      </w:pPr>
    </w:p>
    <w:p w14:paraId="1C86CBA6" w14:textId="7A3F5613"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6AD60EA3" w14:textId="30FC673F"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5E11A23E" w14:textId="658A13DD"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7D290256" w14:textId="294BA384"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55CCC59C" w14:textId="2BC5D687"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5FC3BF40" w14:textId="738CDBA7"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7DD39AF6" w14:textId="39ECD4F7"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4DB2DC79" w14:textId="61C0F881"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430A51F1" w14:textId="7DF665A9"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70A6FFCC" w14:textId="51B03B9B"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70EB84F1" w14:textId="16581760"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4C85813C" w14:textId="38BBBFF3"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15BFAF5D" w14:textId="75B72D57"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0F536968" w14:textId="0DFF6592"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19E83AA7" w14:textId="7D1EDD60"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241F9B5F" w14:textId="6B9849C6"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4C532EF5" w14:textId="2E3D5AED"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02D5FB7C" w14:textId="661D7F2A"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14A4542A" w14:textId="7F3D9AEF" w:rsidR="006E3481"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1AC3BAB7" w14:textId="77777777" w:rsidR="006E3481" w:rsidRPr="00665052" w:rsidRDefault="006E3481" w:rsidP="00665052">
      <w:pPr>
        <w:spacing w:after="0" w:line="480" w:lineRule="auto"/>
        <w:contextualSpacing/>
        <w:rPr>
          <w:rFonts w:ascii="Times New Roman" w:hAnsi="Times New Roman" w:cs="Times New Roman"/>
          <w:color w:val="222222"/>
          <w:sz w:val="24"/>
          <w:szCs w:val="24"/>
          <w:shd w:val="clear" w:color="auto" w:fill="FFFFFF"/>
        </w:rPr>
      </w:pPr>
    </w:p>
    <w:p w14:paraId="13037302" w14:textId="18384005" w:rsidR="00325CB0" w:rsidRPr="005C64DD" w:rsidRDefault="00325CB0" w:rsidP="005C64DD">
      <w:pPr>
        <w:spacing w:after="0" w:line="480" w:lineRule="auto"/>
        <w:contextualSpacing/>
        <w:jc w:val="center"/>
        <w:rPr>
          <w:rFonts w:ascii="Times New Roman" w:hAnsi="Times New Roman" w:cs="Times New Roman"/>
          <w:b/>
          <w:bCs/>
          <w:color w:val="222222"/>
          <w:sz w:val="24"/>
          <w:szCs w:val="24"/>
          <w:shd w:val="clear" w:color="auto" w:fill="FFFFFF"/>
        </w:rPr>
      </w:pPr>
      <w:r w:rsidRPr="005C64DD">
        <w:rPr>
          <w:rFonts w:ascii="Times New Roman" w:hAnsi="Times New Roman" w:cs="Times New Roman"/>
          <w:b/>
          <w:bCs/>
          <w:color w:val="222222"/>
          <w:sz w:val="24"/>
          <w:szCs w:val="24"/>
          <w:shd w:val="clear" w:color="auto" w:fill="FFFFFF"/>
        </w:rPr>
        <w:lastRenderedPageBreak/>
        <w:t>Ref</w:t>
      </w:r>
      <w:r w:rsidR="00154660" w:rsidRPr="005C64DD">
        <w:rPr>
          <w:rFonts w:ascii="Times New Roman" w:hAnsi="Times New Roman" w:cs="Times New Roman"/>
          <w:b/>
          <w:bCs/>
          <w:color w:val="222222"/>
          <w:sz w:val="24"/>
          <w:szCs w:val="24"/>
          <w:shd w:val="clear" w:color="auto" w:fill="FFFFFF"/>
        </w:rPr>
        <w:t>e</w:t>
      </w:r>
      <w:r w:rsidRPr="005C64DD">
        <w:rPr>
          <w:rFonts w:ascii="Times New Roman" w:hAnsi="Times New Roman" w:cs="Times New Roman"/>
          <w:b/>
          <w:bCs/>
          <w:color w:val="222222"/>
          <w:sz w:val="24"/>
          <w:szCs w:val="24"/>
          <w:shd w:val="clear" w:color="auto" w:fill="FFFFFF"/>
        </w:rPr>
        <w:t>rences</w:t>
      </w:r>
    </w:p>
    <w:p w14:paraId="4332E1A6" w14:textId="737C3369" w:rsidR="00325CB0" w:rsidRPr="00BE50FF" w:rsidRDefault="00325CB0" w:rsidP="005C64DD">
      <w:pPr>
        <w:spacing w:after="0" w:line="480" w:lineRule="auto"/>
        <w:ind w:left="720" w:hanging="720"/>
        <w:contextualSpacing/>
        <w:rPr>
          <w:rFonts w:ascii="Times New Roman" w:hAnsi="Times New Roman" w:cs="Times New Roman"/>
          <w:sz w:val="24"/>
          <w:szCs w:val="24"/>
        </w:rPr>
      </w:pPr>
      <w:r w:rsidRPr="00665052">
        <w:rPr>
          <w:rFonts w:ascii="Times New Roman" w:hAnsi="Times New Roman" w:cs="Times New Roman"/>
          <w:color w:val="000000"/>
          <w:sz w:val="24"/>
          <w:szCs w:val="24"/>
          <w:shd w:val="clear" w:color="auto" w:fill="FFFFFF"/>
        </w:rPr>
        <w:t xml:space="preserve">Center </w:t>
      </w:r>
      <w:proofErr w:type="gramStart"/>
      <w:r w:rsidRPr="00665052">
        <w:rPr>
          <w:rFonts w:ascii="Times New Roman" w:hAnsi="Times New Roman" w:cs="Times New Roman"/>
          <w:color w:val="000000"/>
          <w:sz w:val="24"/>
          <w:szCs w:val="24"/>
          <w:shd w:val="clear" w:color="auto" w:fill="FFFFFF"/>
        </w:rPr>
        <w:t>For</w:t>
      </w:r>
      <w:proofErr w:type="gramEnd"/>
      <w:r w:rsidRPr="00665052">
        <w:rPr>
          <w:rFonts w:ascii="Times New Roman" w:hAnsi="Times New Roman" w:cs="Times New Roman"/>
          <w:color w:val="000000"/>
          <w:sz w:val="24"/>
          <w:szCs w:val="24"/>
          <w:shd w:val="clear" w:color="auto" w:fill="FFFFFF"/>
        </w:rPr>
        <w:t xml:space="preserve"> Disease Control and Prevention. (2019, April 2). </w:t>
      </w:r>
      <w:r w:rsidRPr="00665052">
        <w:rPr>
          <w:rStyle w:val="Emphasis"/>
          <w:rFonts w:ascii="Times New Roman" w:hAnsi="Times New Roman" w:cs="Times New Roman"/>
          <w:color w:val="000000"/>
          <w:sz w:val="24"/>
          <w:szCs w:val="24"/>
          <w:shd w:val="clear" w:color="auto" w:fill="FFFFFF"/>
        </w:rPr>
        <w:t>Tier 1 genomics applications and their importance to public health</w:t>
      </w:r>
      <w:r w:rsidRPr="00665052">
        <w:rPr>
          <w:rFonts w:ascii="Times New Roman" w:hAnsi="Times New Roman" w:cs="Times New Roman"/>
          <w:color w:val="000000"/>
          <w:sz w:val="24"/>
          <w:szCs w:val="24"/>
          <w:shd w:val="clear" w:color="auto" w:fill="FFFFFF"/>
        </w:rPr>
        <w:t>. Centers for Disease Control and Prevention. Retrieved September 19, 2020, from </w:t>
      </w:r>
      <w:hyperlink r:id="rId7" w:history="1">
        <w:r w:rsidRPr="00BE50FF">
          <w:rPr>
            <w:rStyle w:val="Hyperlink"/>
            <w:rFonts w:ascii="Times New Roman" w:hAnsi="Times New Roman" w:cs="Times New Roman"/>
            <w:color w:val="000000"/>
            <w:sz w:val="24"/>
            <w:szCs w:val="24"/>
            <w:u w:val="none"/>
            <w:shd w:val="clear" w:color="auto" w:fill="FFFFFF"/>
          </w:rPr>
          <w:t>https://www.cdc.gov/genomics/implementation/toolkit/tier1.htm</w:t>
        </w:r>
      </w:hyperlink>
    </w:p>
    <w:p w14:paraId="7ECD25E6" w14:textId="3C217DCF" w:rsidR="00102390" w:rsidRPr="00665052" w:rsidRDefault="00102390" w:rsidP="005C64DD">
      <w:pPr>
        <w:spacing w:after="0" w:line="480" w:lineRule="auto"/>
        <w:ind w:left="720" w:hanging="720"/>
        <w:contextualSpacing/>
        <w:rPr>
          <w:rFonts w:ascii="Times New Roman" w:hAnsi="Times New Roman" w:cs="Times New Roman"/>
          <w:color w:val="222222"/>
          <w:sz w:val="24"/>
          <w:szCs w:val="24"/>
          <w:shd w:val="clear" w:color="auto" w:fill="FFFFFF"/>
        </w:rPr>
      </w:pPr>
      <w:r w:rsidRPr="00665052">
        <w:rPr>
          <w:rFonts w:ascii="Times New Roman" w:hAnsi="Times New Roman" w:cs="Times New Roman"/>
          <w:color w:val="222222"/>
          <w:sz w:val="24"/>
          <w:szCs w:val="24"/>
          <w:shd w:val="clear" w:color="auto" w:fill="FFFFFF"/>
        </w:rPr>
        <w:t xml:space="preserve">Santos, R. D., Bourbon, M., Alonso, R., Cuevas, A., </w:t>
      </w:r>
      <w:proofErr w:type="spellStart"/>
      <w:r w:rsidRPr="00665052">
        <w:rPr>
          <w:rFonts w:ascii="Times New Roman" w:hAnsi="Times New Roman" w:cs="Times New Roman"/>
          <w:color w:val="222222"/>
          <w:sz w:val="24"/>
          <w:szCs w:val="24"/>
          <w:shd w:val="clear" w:color="auto" w:fill="FFFFFF"/>
        </w:rPr>
        <w:t>Vasques</w:t>
      </w:r>
      <w:proofErr w:type="spellEnd"/>
      <w:r w:rsidRPr="00665052">
        <w:rPr>
          <w:rFonts w:ascii="Times New Roman" w:hAnsi="Times New Roman" w:cs="Times New Roman"/>
          <w:color w:val="222222"/>
          <w:sz w:val="24"/>
          <w:szCs w:val="24"/>
          <w:shd w:val="clear" w:color="auto" w:fill="FFFFFF"/>
        </w:rPr>
        <w:t xml:space="preserve">-Cardenas, N. A., Pereira, A. C., ... &amp; Krieger, J. E. (2017). Clinical and molecular aspects of familial hypercholesterolemia in </w:t>
      </w:r>
      <w:proofErr w:type="spellStart"/>
      <w:r w:rsidRPr="00665052">
        <w:rPr>
          <w:rFonts w:ascii="Times New Roman" w:hAnsi="Times New Roman" w:cs="Times New Roman"/>
          <w:color w:val="222222"/>
          <w:sz w:val="24"/>
          <w:szCs w:val="24"/>
          <w:shd w:val="clear" w:color="auto" w:fill="FFFFFF"/>
        </w:rPr>
        <w:t>Ibero</w:t>
      </w:r>
      <w:proofErr w:type="spellEnd"/>
      <w:r w:rsidRPr="00665052">
        <w:rPr>
          <w:rFonts w:ascii="Times New Roman" w:hAnsi="Times New Roman" w:cs="Times New Roman"/>
          <w:color w:val="222222"/>
          <w:sz w:val="24"/>
          <w:szCs w:val="24"/>
          <w:shd w:val="clear" w:color="auto" w:fill="FFFFFF"/>
        </w:rPr>
        <w:t>-American countries. </w:t>
      </w:r>
      <w:r w:rsidRPr="00665052">
        <w:rPr>
          <w:rFonts w:ascii="Times New Roman" w:hAnsi="Times New Roman" w:cs="Times New Roman"/>
          <w:i/>
          <w:iCs/>
          <w:color w:val="222222"/>
          <w:sz w:val="24"/>
          <w:szCs w:val="24"/>
          <w:shd w:val="clear" w:color="auto" w:fill="FFFFFF"/>
        </w:rPr>
        <w:t>Journal of Clinical Lipidology</w:t>
      </w:r>
      <w:r w:rsidRPr="00665052">
        <w:rPr>
          <w:rFonts w:ascii="Times New Roman" w:hAnsi="Times New Roman" w:cs="Times New Roman"/>
          <w:color w:val="222222"/>
          <w:sz w:val="24"/>
          <w:szCs w:val="24"/>
          <w:shd w:val="clear" w:color="auto" w:fill="FFFFFF"/>
        </w:rPr>
        <w:t>, </w:t>
      </w:r>
      <w:r w:rsidRPr="00665052">
        <w:rPr>
          <w:rFonts w:ascii="Times New Roman" w:hAnsi="Times New Roman" w:cs="Times New Roman"/>
          <w:i/>
          <w:iCs/>
          <w:color w:val="222222"/>
          <w:sz w:val="24"/>
          <w:szCs w:val="24"/>
          <w:shd w:val="clear" w:color="auto" w:fill="FFFFFF"/>
        </w:rPr>
        <w:t>11</w:t>
      </w:r>
      <w:r w:rsidRPr="00665052">
        <w:rPr>
          <w:rFonts w:ascii="Times New Roman" w:hAnsi="Times New Roman" w:cs="Times New Roman"/>
          <w:color w:val="222222"/>
          <w:sz w:val="24"/>
          <w:szCs w:val="24"/>
          <w:shd w:val="clear" w:color="auto" w:fill="FFFFFF"/>
        </w:rPr>
        <w:t>(1), 160-166.</w:t>
      </w:r>
    </w:p>
    <w:p w14:paraId="6BE44FD4" w14:textId="42565BEF" w:rsidR="0077412A" w:rsidRPr="00665052" w:rsidRDefault="0077412A" w:rsidP="005C64DD">
      <w:pPr>
        <w:spacing w:after="0" w:line="480" w:lineRule="auto"/>
        <w:ind w:left="720" w:hanging="720"/>
        <w:contextualSpacing/>
        <w:rPr>
          <w:rFonts w:ascii="Times New Roman" w:hAnsi="Times New Roman" w:cs="Times New Roman"/>
          <w:sz w:val="24"/>
          <w:szCs w:val="24"/>
        </w:rPr>
      </w:pPr>
      <w:r w:rsidRPr="00665052">
        <w:rPr>
          <w:rFonts w:ascii="Times New Roman" w:hAnsi="Times New Roman" w:cs="Times New Roman"/>
          <w:color w:val="222222"/>
          <w:sz w:val="24"/>
          <w:szCs w:val="24"/>
          <w:shd w:val="clear" w:color="auto" w:fill="FFFFFF"/>
        </w:rPr>
        <w:t xml:space="preserve">Pang, J., Sullivan, D. R., Brett, T., </w:t>
      </w:r>
      <w:proofErr w:type="spellStart"/>
      <w:r w:rsidRPr="00665052">
        <w:rPr>
          <w:rFonts w:ascii="Times New Roman" w:hAnsi="Times New Roman" w:cs="Times New Roman"/>
          <w:color w:val="222222"/>
          <w:sz w:val="24"/>
          <w:szCs w:val="24"/>
          <w:shd w:val="clear" w:color="auto" w:fill="FFFFFF"/>
        </w:rPr>
        <w:t>Kostner</w:t>
      </w:r>
      <w:proofErr w:type="spellEnd"/>
      <w:r w:rsidRPr="00665052">
        <w:rPr>
          <w:rFonts w:ascii="Times New Roman" w:hAnsi="Times New Roman" w:cs="Times New Roman"/>
          <w:color w:val="222222"/>
          <w:sz w:val="24"/>
          <w:szCs w:val="24"/>
          <w:shd w:val="clear" w:color="auto" w:fill="FFFFFF"/>
        </w:rPr>
        <w:t xml:space="preserve">, K. M., Hare, D. L., &amp; Watts, G. F. (2020). Familial </w:t>
      </w:r>
      <w:proofErr w:type="spellStart"/>
      <w:r w:rsidRPr="00665052">
        <w:rPr>
          <w:rFonts w:ascii="Times New Roman" w:hAnsi="Times New Roman" w:cs="Times New Roman"/>
          <w:color w:val="222222"/>
          <w:sz w:val="24"/>
          <w:szCs w:val="24"/>
          <w:shd w:val="clear" w:color="auto" w:fill="FFFFFF"/>
        </w:rPr>
        <w:t>hypercholesterolaemia</w:t>
      </w:r>
      <w:proofErr w:type="spellEnd"/>
      <w:r w:rsidRPr="00665052">
        <w:rPr>
          <w:rFonts w:ascii="Times New Roman" w:hAnsi="Times New Roman" w:cs="Times New Roman"/>
          <w:color w:val="222222"/>
          <w:sz w:val="24"/>
          <w:szCs w:val="24"/>
          <w:shd w:val="clear" w:color="auto" w:fill="FFFFFF"/>
        </w:rPr>
        <w:t xml:space="preserve"> in 2020: a leading Tier 1 genomic application. </w:t>
      </w:r>
      <w:r w:rsidRPr="00665052">
        <w:rPr>
          <w:rFonts w:ascii="Times New Roman" w:hAnsi="Times New Roman" w:cs="Times New Roman"/>
          <w:i/>
          <w:iCs/>
          <w:color w:val="222222"/>
          <w:sz w:val="24"/>
          <w:szCs w:val="24"/>
          <w:shd w:val="clear" w:color="auto" w:fill="FFFFFF"/>
        </w:rPr>
        <w:t>Heart, Lung and Circulation</w:t>
      </w:r>
      <w:r w:rsidRPr="00665052">
        <w:rPr>
          <w:rFonts w:ascii="Times New Roman" w:hAnsi="Times New Roman" w:cs="Times New Roman"/>
          <w:color w:val="222222"/>
          <w:sz w:val="24"/>
          <w:szCs w:val="24"/>
          <w:shd w:val="clear" w:color="auto" w:fill="FFFFFF"/>
        </w:rPr>
        <w:t>, </w:t>
      </w:r>
      <w:r w:rsidRPr="00665052">
        <w:rPr>
          <w:rFonts w:ascii="Times New Roman" w:hAnsi="Times New Roman" w:cs="Times New Roman"/>
          <w:i/>
          <w:iCs/>
          <w:color w:val="222222"/>
          <w:sz w:val="24"/>
          <w:szCs w:val="24"/>
          <w:shd w:val="clear" w:color="auto" w:fill="FFFFFF"/>
        </w:rPr>
        <w:t>29</w:t>
      </w:r>
      <w:r w:rsidRPr="00665052">
        <w:rPr>
          <w:rFonts w:ascii="Times New Roman" w:hAnsi="Times New Roman" w:cs="Times New Roman"/>
          <w:color w:val="222222"/>
          <w:sz w:val="24"/>
          <w:szCs w:val="24"/>
          <w:shd w:val="clear" w:color="auto" w:fill="FFFFFF"/>
        </w:rPr>
        <w:t>(4), 619-633.</w:t>
      </w:r>
    </w:p>
    <w:sectPr w:rsidR="0077412A" w:rsidRPr="00665052" w:rsidSect="006A480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7607DC" w14:textId="77777777" w:rsidR="004665EA" w:rsidRDefault="004665EA" w:rsidP="006A480B">
      <w:pPr>
        <w:spacing w:after="0" w:line="240" w:lineRule="auto"/>
      </w:pPr>
      <w:r>
        <w:separator/>
      </w:r>
    </w:p>
  </w:endnote>
  <w:endnote w:type="continuationSeparator" w:id="0">
    <w:p w14:paraId="77182F10" w14:textId="77777777" w:rsidR="004665EA" w:rsidRDefault="004665EA" w:rsidP="006A4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D968C" w14:textId="77777777" w:rsidR="004665EA" w:rsidRDefault="004665EA" w:rsidP="006A480B">
      <w:pPr>
        <w:spacing w:after="0" w:line="240" w:lineRule="auto"/>
      </w:pPr>
      <w:r>
        <w:separator/>
      </w:r>
    </w:p>
  </w:footnote>
  <w:footnote w:type="continuationSeparator" w:id="0">
    <w:p w14:paraId="3B2DA191" w14:textId="77777777" w:rsidR="004665EA" w:rsidRDefault="004665EA" w:rsidP="006A48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9E1165" w14:textId="2B349A91" w:rsidR="006A480B" w:rsidRDefault="006A480B">
    <w:pPr>
      <w:pStyle w:val="Header"/>
    </w:pPr>
    <w:r>
      <w:rPr>
        <w:rFonts w:ascii="Times New Roman" w:hAnsi="Times New Roman" w:cs="Times New Roman"/>
        <w:sz w:val="24"/>
        <w:szCs w:val="24"/>
      </w:rPr>
      <w:t>TIER ONE GENOMICS</w:t>
    </w:r>
    <w:r>
      <w:rPr>
        <w:rFonts w:ascii="Times New Roman" w:hAnsi="Times New Roman" w:cs="Times New Roman"/>
        <w:sz w:val="24"/>
        <w:szCs w:val="24"/>
      </w:rPr>
      <w:tab/>
    </w:r>
    <w:r>
      <w:rPr>
        <w:rFonts w:ascii="Times New Roman" w:hAnsi="Times New Roman" w:cs="Times New Roman"/>
        <w:sz w:val="24"/>
        <w:szCs w:val="24"/>
      </w:rPr>
      <w:tab/>
    </w:r>
    <w:r w:rsidRPr="006A480B">
      <w:rPr>
        <w:rFonts w:ascii="Times New Roman" w:hAnsi="Times New Roman" w:cs="Times New Roman"/>
        <w:sz w:val="24"/>
        <w:szCs w:val="24"/>
      </w:rPr>
      <w:fldChar w:fldCharType="begin"/>
    </w:r>
    <w:r w:rsidRPr="006A480B">
      <w:rPr>
        <w:rFonts w:ascii="Times New Roman" w:hAnsi="Times New Roman" w:cs="Times New Roman"/>
        <w:sz w:val="24"/>
        <w:szCs w:val="24"/>
      </w:rPr>
      <w:instrText xml:space="preserve"> PAGE   \* MERGEFORMAT </w:instrText>
    </w:r>
    <w:r w:rsidRPr="006A480B">
      <w:rPr>
        <w:rFonts w:ascii="Times New Roman" w:hAnsi="Times New Roman" w:cs="Times New Roman"/>
        <w:sz w:val="24"/>
        <w:szCs w:val="24"/>
      </w:rPr>
      <w:fldChar w:fldCharType="separate"/>
    </w:r>
    <w:r w:rsidRPr="006A480B">
      <w:rPr>
        <w:rFonts w:ascii="Times New Roman" w:hAnsi="Times New Roman" w:cs="Times New Roman"/>
        <w:noProof/>
        <w:sz w:val="24"/>
        <w:szCs w:val="24"/>
      </w:rPr>
      <w:t>1</w:t>
    </w:r>
    <w:r w:rsidRPr="006A480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0B36B" w14:textId="6FBE84C0" w:rsidR="006A480B" w:rsidRPr="006A480B" w:rsidRDefault="006A480B">
    <w:pPr>
      <w:pStyle w:val="Header"/>
      <w:rPr>
        <w:rFonts w:ascii="Times New Roman" w:hAnsi="Times New Roman" w:cs="Times New Roman"/>
        <w:sz w:val="24"/>
        <w:szCs w:val="24"/>
      </w:rPr>
    </w:pPr>
    <w:r>
      <w:rPr>
        <w:rFonts w:ascii="Times New Roman" w:hAnsi="Times New Roman" w:cs="Times New Roman"/>
        <w:sz w:val="24"/>
        <w:szCs w:val="24"/>
      </w:rPr>
      <w:t>Running head: TIER ONE GENOMICS</w:t>
    </w:r>
    <w:r>
      <w:rPr>
        <w:rFonts w:ascii="Times New Roman" w:hAnsi="Times New Roman" w:cs="Times New Roman"/>
        <w:sz w:val="24"/>
        <w:szCs w:val="24"/>
      </w:rPr>
      <w:tab/>
    </w:r>
    <w:r>
      <w:rPr>
        <w:rFonts w:ascii="Times New Roman" w:hAnsi="Times New Roman" w:cs="Times New Roman"/>
        <w:sz w:val="24"/>
        <w:szCs w:val="24"/>
      </w:rPr>
      <w:tab/>
    </w:r>
    <w:r w:rsidRPr="006A480B">
      <w:rPr>
        <w:rFonts w:ascii="Times New Roman" w:hAnsi="Times New Roman" w:cs="Times New Roman"/>
        <w:sz w:val="24"/>
        <w:szCs w:val="24"/>
      </w:rPr>
      <w:fldChar w:fldCharType="begin"/>
    </w:r>
    <w:r w:rsidRPr="006A480B">
      <w:rPr>
        <w:rFonts w:ascii="Times New Roman" w:hAnsi="Times New Roman" w:cs="Times New Roman"/>
        <w:sz w:val="24"/>
        <w:szCs w:val="24"/>
      </w:rPr>
      <w:instrText xml:space="preserve"> PAGE   \* MERGEFORMAT </w:instrText>
    </w:r>
    <w:r w:rsidRPr="006A480B">
      <w:rPr>
        <w:rFonts w:ascii="Times New Roman" w:hAnsi="Times New Roman" w:cs="Times New Roman"/>
        <w:sz w:val="24"/>
        <w:szCs w:val="24"/>
      </w:rPr>
      <w:fldChar w:fldCharType="separate"/>
    </w:r>
    <w:r w:rsidRPr="006A480B">
      <w:rPr>
        <w:rFonts w:ascii="Times New Roman" w:hAnsi="Times New Roman" w:cs="Times New Roman"/>
        <w:noProof/>
        <w:sz w:val="24"/>
        <w:szCs w:val="24"/>
      </w:rPr>
      <w:t>1</w:t>
    </w:r>
    <w:r w:rsidRPr="006A480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0762E2"/>
    <w:multiLevelType w:val="multilevel"/>
    <w:tmpl w:val="94A4B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BE5"/>
    <w:rsid w:val="00056871"/>
    <w:rsid w:val="00092205"/>
    <w:rsid w:val="000A7A34"/>
    <w:rsid w:val="000B1AF4"/>
    <w:rsid w:val="000D7DFC"/>
    <w:rsid w:val="000F5A68"/>
    <w:rsid w:val="00102390"/>
    <w:rsid w:val="00132D54"/>
    <w:rsid w:val="001517F1"/>
    <w:rsid w:val="00154660"/>
    <w:rsid w:val="001632C1"/>
    <w:rsid w:val="00163F1B"/>
    <w:rsid w:val="001973B0"/>
    <w:rsid w:val="001A64D9"/>
    <w:rsid w:val="001C59FD"/>
    <w:rsid w:val="001E336A"/>
    <w:rsid w:val="001E414E"/>
    <w:rsid w:val="002044AA"/>
    <w:rsid w:val="002314D3"/>
    <w:rsid w:val="002B0E6A"/>
    <w:rsid w:val="002C008B"/>
    <w:rsid w:val="002D3BF2"/>
    <w:rsid w:val="002F4EE0"/>
    <w:rsid w:val="003076CB"/>
    <w:rsid w:val="00325CB0"/>
    <w:rsid w:val="00335D02"/>
    <w:rsid w:val="00395586"/>
    <w:rsid w:val="003E499E"/>
    <w:rsid w:val="00421B61"/>
    <w:rsid w:val="00433F6F"/>
    <w:rsid w:val="00454444"/>
    <w:rsid w:val="004665EA"/>
    <w:rsid w:val="004A4185"/>
    <w:rsid w:val="00592518"/>
    <w:rsid w:val="005B4552"/>
    <w:rsid w:val="005B65DA"/>
    <w:rsid w:val="005C64DD"/>
    <w:rsid w:val="005D328C"/>
    <w:rsid w:val="005F1B2A"/>
    <w:rsid w:val="00604ECA"/>
    <w:rsid w:val="00656C6B"/>
    <w:rsid w:val="0066107C"/>
    <w:rsid w:val="00665052"/>
    <w:rsid w:val="00692CAE"/>
    <w:rsid w:val="006A480B"/>
    <w:rsid w:val="006C6633"/>
    <w:rsid w:val="006E3481"/>
    <w:rsid w:val="007148A6"/>
    <w:rsid w:val="00757145"/>
    <w:rsid w:val="0077412A"/>
    <w:rsid w:val="007A08E9"/>
    <w:rsid w:val="007F16EA"/>
    <w:rsid w:val="007F4C18"/>
    <w:rsid w:val="008163A0"/>
    <w:rsid w:val="00834334"/>
    <w:rsid w:val="00851BA7"/>
    <w:rsid w:val="008748E0"/>
    <w:rsid w:val="00881553"/>
    <w:rsid w:val="00886B7A"/>
    <w:rsid w:val="00894AFC"/>
    <w:rsid w:val="008A426B"/>
    <w:rsid w:val="008B4EDF"/>
    <w:rsid w:val="008F2277"/>
    <w:rsid w:val="008F6B4D"/>
    <w:rsid w:val="00932CE7"/>
    <w:rsid w:val="00942B6B"/>
    <w:rsid w:val="00945B5F"/>
    <w:rsid w:val="009811D3"/>
    <w:rsid w:val="009B1F18"/>
    <w:rsid w:val="009E2C50"/>
    <w:rsid w:val="009E4953"/>
    <w:rsid w:val="009E51A8"/>
    <w:rsid w:val="00A41D13"/>
    <w:rsid w:val="00A63245"/>
    <w:rsid w:val="00A83091"/>
    <w:rsid w:val="00A84635"/>
    <w:rsid w:val="00AA0372"/>
    <w:rsid w:val="00AA15C0"/>
    <w:rsid w:val="00AD03D7"/>
    <w:rsid w:val="00AD2BF1"/>
    <w:rsid w:val="00B06746"/>
    <w:rsid w:val="00B24318"/>
    <w:rsid w:val="00B42B78"/>
    <w:rsid w:val="00BE50FF"/>
    <w:rsid w:val="00C06AD8"/>
    <w:rsid w:val="00C34399"/>
    <w:rsid w:val="00C47720"/>
    <w:rsid w:val="00C56925"/>
    <w:rsid w:val="00C57090"/>
    <w:rsid w:val="00C92D3F"/>
    <w:rsid w:val="00CB1900"/>
    <w:rsid w:val="00CC28BE"/>
    <w:rsid w:val="00CF5387"/>
    <w:rsid w:val="00D2572E"/>
    <w:rsid w:val="00D266D0"/>
    <w:rsid w:val="00D9510E"/>
    <w:rsid w:val="00DA2F47"/>
    <w:rsid w:val="00DB23EB"/>
    <w:rsid w:val="00DD4CA7"/>
    <w:rsid w:val="00DE21D9"/>
    <w:rsid w:val="00DF4B83"/>
    <w:rsid w:val="00E41103"/>
    <w:rsid w:val="00EA2AE7"/>
    <w:rsid w:val="00EB0A4C"/>
    <w:rsid w:val="00EB4DE7"/>
    <w:rsid w:val="00F10ADF"/>
    <w:rsid w:val="00F6593B"/>
    <w:rsid w:val="00FB247A"/>
    <w:rsid w:val="00FC1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EEBCF"/>
  <w15:chartTrackingRefBased/>
  <w15:docId w15:val="{50671100-2C22-48FF-AF22-84083B8E2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24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B247A"/>
    <w:rPr>
      <w:color w:val="0000FF"/>
      <w:u w:val="single"/>
    </w:rPr>
  </w:style>
  <w:style w:type="character" w:styleId="Emphasis">
    <w:name w:val="Emphasis"/>
    <w:basedOn w:val="DefaultParagraphFont"/>
    <w:uiPriority w:val="20"/>
    <w:qFormat/>
    <w:rsid w:val="00FB247A"/>
    <w:rPr>
      <w:i/>
      <w:iCs/>
    </w:rPr>
  </w:style>
  <w:style w:type="paragraph" w:customStyle="1" w:styleId="Default">
    <w:name w:val="Default"/>
    <w:rsid w:val="002044AA"/>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6A4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80B"/>
  </w:style>
  <w:style w:type="paragraph" w:styleId="Footer">
    <w:name w:val="footer"/>
    <w:basedOn w:val="Normal"/>
    <w:link w:val="FooterChar"/>
    <w:uiPriority w:val="99"/>
    <w:unhideWhenUsed/>
    <w:rsid w:val="006A4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525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dc.gov/genomics/implementation/toolkit/tier1.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5</Pages>
  <Words>756</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154</cp:revision>
  <dcterms:created xsi:type="dcterms:W3CDTF">2020-09-19T05:22:00Z</dcterms:created>
  <dcterms:modified xsi:type="dcterms:W3CDTF">2020-09-19T07:26:00Z</dcterms:modified>
</cp:coreProperties>
</file>